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8" w:rsidRPr="00A42DD0" w:rsidRDefault="00B16C21">
      <w:pPr>
        <w:ind w:firstLine="698"/>
        <w:jc w:val="right"/>
      </w:pPr>
      <w:r w:rsidRPr="00A42DD0">
        <w:rPr>
          <w:rStyle w:val="a3"/>
          <w:color w:val="auto"/>
        </w:rPr>
        <w:t>Форма N 3-а</w:t>
      </w:r>
    </w:p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1"/>
        <w:rPr>
          <w:color w:val="auto"/>
        </w:rPr>
      </w:pPr>
      <w:r w:rsidRPr="00A42DD0">
        <w:rPr>
          <w:color w:val="auto"/>
        </w:rPr>
        <w:t>Инвестицион</w:t>
      </w:r>
      <w:r w:rsidR="00C622AE">
        <w:rPr>
          <w:color w:val="auto"/>
        </w:rPr>
        <w:t>ные программы</w:t>
      </w:r>
      <w:r w:rsidR="00E409C8">
        <w:rPr>
          <w:color w:val="auto"/>
        </w:rPr>
        <w:t xml:space="preserve"> СЕМ на период </w:t>
      </w:r>
      <w:r w:rsidR="00103787">
        <w:rPr>
          <w:color w:val="auto"/>
        </w:rPr>
        <w:t>20</w:t>
      </w:r>
      <w:r w:rsidR="001E2E05">
        <w:rPr>
          <w:color w:val="auto"/>
        </w:rPr>
        <w:t>2</w:t>
      </w:r>
      <w:r w:rsidR="003B756C" w:rsidRPr="003B756C">
        <w:rPr>
          <w:color w:val="auto"/>
        </w:rPr>
        <w:t>3</w:t>
      </w:r>
      <w:r w:rsidR="00E409C8">
        <w:rPr>
          <w:color w:val="auto"/>
        </w:rPr>
        <w:t xml:space="preserve"> </w:t>
      </w:r>
      <w:r w:rsidRPr="00A42DD0">
        <w:rPr>
          <w:color w:val="auto"/>
        </w:rPr>
        <w:t>г.</w:t>
      </w:r>
    </w:p>
    <w:p w:rsidR="00103787" w:rsidRDefault="00103787">
      <w:pPr>
        <w:ind w:firstLine="720"/>
        <w:jc w:val="both"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850AB9" w:rsidRPr="00E409C8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E409C8" w:rsidRDefault="00850AB9" w:rsidP="00043A28">
            <w:pPr>
              <w:pStyle w:val="aff2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proofErr w:type="spellStart"/>
            <w:r>
              <w:rPr>
                <w:b/>
              </w:rPr>
              <w:t>Вагоноопрокидыватель</w:t>
            </w:r>
            <w:proofErr w:type="spellEnd"/>
          </w:p>
        </w:tc>
      </w:tr>
      <w:tr w:rsidR="00850AB9" w:rsidRPr="00EB745D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Default="00850AB9" w:rsidP="00D06576">
            <w:pPr>
              <w:pStyle w:val="aff2"/>
            </w:pPr>
            <w:r w:rsidRPr="00EC7D61">
              <w:t>Создание специализированного угольного терминала</w:t>
            </w:r>
            <w:r>
              <w:t>.</w:t>
            </w:r>
          </w:p>
          <w:p w:rsidR="00850AB9" w:rsidRDefault="00850AB9" w:rsidP="00D06576">
            <w:pPr>
              <w:pStyle w:val="aff2"/>
            </w:pPr>
            <w:r>
              <w:t>Снижение выбросов угольной пыли.</w:t>
            </w:r>
          </w:p>
          <w:p w:rsidR="00850AB9" w:rsidRPr="00EB745D" w:rsidRDefault="00850AB9" w:rsidP="00D06576">
            <w:pPr>
              <w:pStyle w:val="aff2"/>
            </w:pPr>
            <w:r w:rsidRPr="00EB745D">
              <w:t>Обеспечение санитарно-эпидемиологического благополучия населения.</w:t>
            </w:r>
          </w:p>
          <w:p w:rsidR="00850AB9" w:rsidRPr="00091CB5" w:rsidRDefault="00850AB9" w:rsidP="00D06576">
            <w:pPr>
              <w:pStyle w:val="aff2"/>
            </w:pPr>
            <w:r w:rsidRPr="00091CB5">
              <w:t>Снижение себестоимости</w:t>
            </w:r>
            <w:r>
              <w:t xml:space="preserve"> перевалки угля.</w:t>
            </w:r>
          </w:p>
          <w:p w:rsidR="00850AB9" w:rsidRPr="00091CB5" w:rsidRDefault="00850AB9" w:rsidP="00D06576">
            <w:pPr>
              <w:pStyle w:val="aff2"/>
            </w:pPr>
            <w:r w:rsidRPr="00091CB5">
              <w:t>Улучшение качества очистки угля</w:t>
            </w:r>
            <w:r>
              <w:t>.</w:t>
            </w:r>
          </w:p>
          <w:p w:rsidR="00850AB9" w:rsidRPr="00EB745D" w:rsidRDefault="00850AB9" w:rsidP="00D06576">
            <w:pPr>
              <w:pStyle w:val="aff2"/>
            </w:pPr>
            <w:r w:rsidRPr="00091CB5">
              <w:t>Увеличение объема грузопереработки</w:t>
            </w: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Сроки реализации программы</w:t>
            </w:r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t>5 лет</w:t>
            </w:r>
          </w:p>
        </w:tc>
      </w:tr>
      <w:tr w:rsidR="00850AB9" w:rsidRPr="00EB745D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Общий объем финансирования, тыс. руб.,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научно-исследовательские и опытно-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конструкторские работы, тыс. руб.;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капитальные вложения, тыс. руб.;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Default="00850AB9" w:rsidP="00D06576">
            <w:pPr>
              <w:pStyle w:val="aff2"/>
            </w:pPr>
          </w:p>
          <w:p w:rsidR="00850AB9" w:rsidRDefault="00850AB9" w:rsidP="00D06576"/>
          <w:p w:rsidR="00850AB9" w:rsidRDefault="003B756C" w:rsidP="00D06576">
            <w:r>
              <w:rPr>
                <w:lang w:val="en-US"/>
              </w:rPr>
              <w:t>185 520</w:t>
            </w:r>
            <w:r w:rsidR="00CE4C60" w:rsidRPr="00CE4C60">
              <w:t xml:space="preserve"> </w:t>
            </w:r>
            <w:proofErr w:type="spellStart"/>
            <w:r w:rsidR="00850AB9">
              <w:t>тыс.руб</w:t>
            </w:r>
            <w:proofErr w:type="spellEnd"/>
            <w:r w:rsidR="00850AB9">
              <w:t>:</w:t>
            </w:r>
          </w:p>
          <w:p w:rsidR="00850AB9" w:rsidRDefault="00850AB9" w:rsidP="00D06576"/>
          <w:p w:rsidR="00850AB9" w:rsidRDefault="00850AB9" w:rsidP="00D06576"/>
          <w:p w:rsidR="00850AB9" w:rsidRDefault="003B756C" w:rsidP="000D7A3C">
            <w:r>
              <w:rPr>
                <w:lang w:val="en-US"/>
              </w:rPr>
              <w:t>185 520</w:t>
            </w:r>
            <w:r w:rsidR="00CE4C60">
              <w:rPr>
                <w:lang w:val="en-US"/>
              </w:rPr>
              <w:t xml:space="preserve"> </w:t>
            </w:r>
            <w:proofErr w:type="spellStart"/>
            <w:r w:rsidR="00850AB9">
              <w:t>тыс.руб</w:t>
            </w:r>
            <w:proofErr w:type="spellEnd"/>
            <w:r w:rsidR="00850AB9">
              <w:t>.</w:t>
            </w:r>
          </w:p>
          <w:p w:rsidR="00850AB9" w:rsidRDefault="00850AB9" w:rsidP="00D06576"/>
          <w:p w:rsidR="00850AB9" w:rsidRPr="00EB745D" w:rsidRDefault="00850AB9" w:rsidP="00D06576"/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50AB9" w:rsidP="00D06576">
            <w:pPr>
              <w:pStyle w:val="aff2"/>
            </w:pP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t>Увеличение прибыли</w:t>
            </w: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t>Увеличение налога на прибыль</w:t>
            </w:r>
          </w:p>
        </w:tc>
      </w:tr>
      <w:tr w:rsidR="00850AB9" w:rsidRPr="00B16C21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lastRenderedPageBreak/>
              <w:t>У</w:t>
            </w:r>
            <w:r w:rsidR="00850AB9" w:rsidRPr="00A42DD0">
              <w:t xml:space="preserve">лучшение состояния окружающей </w:t>
            </w:r>
            <w:r w:rsidR="00850AB9" w:rsidRPr="00A42DD0">
              <w:lastRenderedPageBreak/>
              <w:t>среды</w:t>
            </w:r>
          </w:p>
        </w:tc>
      </w:tr>
      <w:tr w:rsidR="0080606B" w:rsidRPr="00B16C21" w:rsidTr="0080606B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Pr="00B16C21" w:rsidRDefault="0080606B" w:rsidP="002A5B6C">
            <w:pPr>
              <w:pStyle w:val="aff2"/>
              <w:jc w:val="center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Default="0080606B" w:rsidP="0080606B">
            <w:pPr>
              <w:pStyle w:val="aff2"/>
              <w:rPr>
                <w:b/>
              </w:rPr>
            </w:pPr>
          </w:p>
        </w:tc>
      </w:tr>
      <w:tr w:rsidR="005C208C" w:rsidRPr="00E409C8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5C208C" w:rsidRPr="00B16C21" w:rsidRDefault="005C208C" w:rsidP="005A6018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Pr="00E409C8" w:rsidRDefault="005C208C" w:rsidP="005A6018">
            <w:pPr>
              <w:pStyle w:val="aff2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>
              <w:rPr>
                <w:b/>
              </w:rPr>
              <w:t>Развитие импорта глинозема</w:t>
            </w:r>
          </w:p>
        </w:tc>
      </w:tr>
      <w:tr w:rsidR="005C208C" w:rsidRPr="00EB745D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Pr="0098699A" w:rsidRDefault="0098699A" w:rsidP="005A6018">
            <w:pPr>
              <w:pStyle w:val="aff2"/>
            </w:pPr>
            <w:r w:rsidRPr="0098699A">
              <w:t>Увеличение грузооборота</w:t>
            </w:r>
          </w:p>
        </w:tc>
      </w:tr>
      <w:tr w:rsidR="005C208C" w:rsidRPr="00B16C21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c"/>
            </w:pPr>
            <w:r w:rsidRPr="00B16C21">
              <w:t>Сроки реализации программы</w:t>
            </w:r>
          </w:p>
          <w:p w:rsidR="005C208C" w:rsidRPr="00B16C21" w:rsidRDefault="005C208C" w:rsidP="005A6018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Pr="007137C4" w:rsidRDefault="007137C4" w:rsidP="005A6018">
            <w:pPr>
              <w:pStyle w:val="aff2"/>
            </w:pPr>
            <w:r>
              <w:rPr>
                <w:lang w:val="en-US"/>
              </w:rPr>
              <w:t>2</w:t>
            </w:r>
            <w:r w:rsidR="0098699A" w:rsidRPr="0098699A">
              <w:t xml:space="preserve"> год</w:t>
            </w:r>
            <w:r>
              <w:t>а</w:t>
            </w:r>
          </w:p>
        </w:tc>
      </w:tr>
      <w:tr w:rsidR="005C208C" w:rsidRPr="00EB745D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c"/>
            </w:pPr>
            <w:r w:rsidRPr="00B16C21">
              <w:t>Общий объем финансирования, тыс. руб.,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- научно-исследовательские и опытно-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конструкторские работы, тыс. руб.;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- капитальные вложения, тыс. руб.;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Default="005C208C" w:rsidP="005A6018">
            <w:pPr>
              <w:pStyle w:val="aff2"/>
            </w:pPr>
          </w:p>
          <w:p w:rsidR="005C208C" w:rsidRDefault="005C208C" w:rsidP="005A6018"/>
          <w:p w:rsidR="005C208C" w:rsidRDefault="005C208C" w:rsidP="005A6018">
            <w:r>
              <w:t>166 667</w:t>
            </w:r>
            <w:r w:rsidRPr="00CE4C60"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>:</w:t>
            </w:r>
          </w:p>
          <w:p w:rsidR="005C208C" w:rsidRDefault="005C208C" w:rsidP="005A6018"/>
          <w:p w:rsidR="005C208C" w:rsidRDefault="005C208C" w:rsidP="005A6018"/>
          <w:p w:rsidR="005C208C" w:rsidRDefault="005C208C" w:rsidP="005A6018">
            <w:r>
              <w:t>166 667</w:t>
            </w:r>
            <w:r w:rsidRPr="00CE4C60"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5C208C" w:rsidRDefault="005C208C" w:rsidP="005A6018"/>
          <w:p w:rsidR="005C208C" w:rsidRPr="00EB745D" w:rsidRDefault="005C208C" w:rsidP="005A6018"/>
        </w:tc>
      </w:tr>
      <w:tr w:rsidR="005C208C" w:rsidRPr="00B16C21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5C208C" w:rsidRPr="00B16C21" w:rsidRDefault="005C208C" w:rsidP="005A6018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Pr="00B16C21" w:rsidRDefault="005C208C" w:rsidP="005A6018">
            <w:pPr>
              <w:pStyle w:val="aff2"/>
            </w:pPr>
          </w:p>
        </w:tc>
      </w:tr>
      <w:tr w:rsidR="005C208C" w:rsidRPr="00B16C21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Pr="0098699A" w:rsidRDefault="005C208C" w:rsidP="005A6018">
            <w:pPr>
              <w:pStyle w:val="aff2"/>
            </w:pPr>
            <w:r w:rsidRPr="0098699A">
              <w:t>Увеличение прибыли</w:t>
            </w:r>
          </w:p>
        </w:tc>
      </w:tr>
      <w:tr w:rsidR="005C208C" w:rsidRPr="00B16C21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5C208C" w:rsidRPr="00B16C21" w:rsidRDefault="005C208C" w:rsidP="005A6018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Pr="0098699A" w:rsidRDefault="005C208C" w:rsidP="005A6018">
            <w:pPr>
              <w:pStyle w:val="aff2"/>
            </w:pPr>
            <w:r w:rsidRPr="0098699A">
              <w:t>Увеличение налога на прибыль</w:t>
            </w:r>
          </w:p>
        </w:tc>
      </w:tr>
      <w:tr w:rsidR="005C208C" w:rsidRPr="00B16C21" w:rsidTr="005A601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8C" w:rsidRPr="00B16C21" w:rsidRDefault="005C208C" w:rsidP="005A6018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5C208C" w:rsidRPr="00B16C21" w:rsidRDefault="005C208C" w:rsidP="005A6018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8C" w:rsidRPr="003F2D41" w:rsidRDefault="005C208C" w:rsidP="005A6018">
            <w:pPr>
              <w:pStyle w:val="aff2"/>
              <w:rPr>
                <w:color w:val="FF0000"/>
              </w:rPr>
            </w:pPr>
          </w:p>
        </w:tc>
      </w:tr>
      <w:tr w:rsidR="005C208C" w:rsidRPr="00B16C21" w:rsidTr="0080606B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08C" w:rsidRPr="00B16C21" w:rsidRDefault="005C208C" w:rsidP="002A5B6C">
            <w:pPr>
              <w:pStyle w:val="aff2"/>
              <w:jc w:val="center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08C" w:rsidRDefault="005C208C" w:rsidP="0080606B">
            <w:pPr>
              <w:pStyle w:val="aff2"/>
              <w:rPr>
                <w:b/>
              </w:rPr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460F4B" w:rsidRPr="00B16C21" w:rsidRDefault="00460F4B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C5" w:rsidRPr="003B54C5" w:rsidRDefault="003B54C5" w:rsidP="003B54C5">
            <w:pPr>
              <w:pStyle w:val="aff2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3B54C5">
              <w:rPr>
                <w:b/>
              </w:rPr>
              <w:t xml:space="preserve">Перевод ПС Порт на напряжение 110 </w:t>
            </w:r>
            <w:proofErr w:type="spellStart"/>
            <w:r w:rsidRPr="003B54C5">
              <w:rPr>
                <w:b/>
              </w:rPr>
              <w:t>кВ</w:t>
            </w:r>
            <w:proofErr w:type="spellEnd"/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EB745D" w:rsidRDefault="003B54C5" w:rsidP="00926B98">
            <w:r w:rsidRPr="003B54C5">
              <w:t xml:space="preserve">Перевод ПС Порт на напряжение 110 </w:t>
            </w:r>
            <w:proofErr w:type="spellStart"/>
            <w:r w:rsidRPr="003B54C5">
              <w:t>кВ</w:t>
            </w:r>
            <w:proofErr w:type="spellEnd"/>
            <w:r w:rsidRPr="003B54C5">
              <w:t xml:space="preserve"> для </w:t>
            </w:r>
            <w:r>
              <w:t xml:space="preserve">обеспечения бесперебойной работы </w:t>
            </w:r>
            <w:proofErr w:type="spellStart"/>
            <w:r w:rsidRPr="003B54C5">
              <w:t>вагоноопрокида</w:t>
            </w:r>
            <w:proofErr w:type="spellEnd"/>
            <w:r w:rsidRPr="003B54C5">
              <w:t xml:space="preserve"> и </w:t>
            </w:r>
            <w:r>
              <w:t>перевалки глинозема</w:t>
            </w:r>
            <w:r w:rsidR="00066AA0">
              <w:t xml:space="preserve">. </w:t>
            </w:r>
            <w:r w:rsidR="00066AA0" w:rsidRPr="00066AA0">
              <w:t xml:space="preserve">Замена РУ и силовых трансформаторов ПС Порт-35/6кВ (под увеличение мощности силовых трансформаторов для </w:t>
            </w:r>
            <w:proofErr w:type="spellStart"/>
            <w:r w:rsidR="00066AA0" w:rsidRPr="00066AA0">
              <w:t>перетока</w:t>
            </w:r>
            <w:proofErr w:type="spellEnd"/>
            <w:r w:rsidR="00066AA0" w:rsidRPr="00066AA0">
              <w:t xml:space="preserve"> по </w:t>
            </w:r>
            <w:r w:rsidR="00066AA0" w:rsidRPr="00066AA0">
              <w:lastRenderedPageBreak/>
              <w:t>договору тех</w:t>
            </w:r>
            <w:r w:rsidR="00066AA0">
              <w:t xml:space="preserve">нического </w:t>
            </w:r>
            <w:r w:rsidR="00066AA0" w:rsidRPr="00066AA0">
              <w:t xml:space="preserve">присоединения </w:t>
            </w:r>
            <w:proofErr w:type="spellStart"/>
            <w:r w:rsidR="00066AA0" w:rsidRPr="00066AA0">
              <w:t>Росгранстрой</w:t>
            </w:r>
            <w:proofErr w:type="spellEnd"/>
            <w:r w:rsidR="00066AA0" w:rsidRPr="00066AA0">
              <w:t>)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lastRenderedPageBreak/>
              <w:t>Сроки реализации программы</w:t>
            </w:r>
          </w:p>
          <w:p w:rsidR="00460F4B" w:rsidRPr="00B16C21" w:rsidRDefault="00460F4B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39612A" w:rsidP="002A5B6C">
            <w:pPr>
              <w:pStyle w:val="aff2"/>
            </w:pPr>
            <w:r>
              <w:t>2</w:t>
            </w:r>
            <w:r w:rsidR="00460F4B">
              <w:t xml:space="preserve"> год</w:t>
            </w:r>
            <w:r>
              <w:t>а</w:t>
            </w:r>
            <w:r w:rsidR="00460F4B">
              <w:t xml:space="preserve"> 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Общий объем финансирования, тыс. руб.,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научно-исследовательские и опытно-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конструкторские работы, тыс. руб.;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капитальные вложения, тыс. руб.;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Default="00913E56" w:rsidP="002A5B6C">
            <w:r>
              <w:t>3</w:t>
            </w:r>
            <w:r w:rsidR="006706AE">
              <w:t>0 000</w:t>
            </w:r>
            <w:r w:rsidR="00261D94">
              <w:t xml:space="preserve"> </w:t>
            </w:r>
            <w:proofErr w:type="spellStart"/>
            <w:r w:rsidR="00FE74EF">
              <w:t>тыс.руб</w:t>
            </w:r>
            <w:proofErr w:type="spellEnd"/>
            <w:r w:rsidR="00FE74EF">
              <w:t>.</w:t>
            </w:r>
          </w:p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Pr="00EB745D" w:rsidRDefault="00913E56" w:rsidP="002A5B6C">
            <w:r>
              <w:t>3</w:t>
            </w:r>
            <w:r w:rsidR="006706AE">
              <w:t>0 000</w:t>
            </w:r>
            <w:r w:rsidR="000A7873" w:rsidRPr="000A7873">
              <w:t xml:space="preserve"> </w:t>
            </w:r>
            <w:proofErr w:type="spellStart"/>
            <w:r w:rsidR="00460F4B">
              <w:t>тыс.руб</w:t>
            </w:r>
            <w:proofErr w:type="spellEnd"/>
            <w:r w:rsidR="00460F4B">
              <w:t>.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2"/>
            </w:pPr>
          </w:p>
        </w:tc>
      </w:tr>
      <w:tr w:rsidR="008753EF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B16C21" w:rsidRDefault="008753EF" w:rsidP="002A5B6C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Pr="000E5145" w:rsidRDefault="008753EF" w:rsidP="009538FA"/>
        </w:tc>
      </w:tr>
      <w:tr w:rsidR="008753EF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B16C21" w:rsidRDefault="008753EF" w:rsidP="002A5B6C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8753EF" w:rsidRPr="00B16C21" w:rsidRDefault="008753EF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Default="008753EF" w:rsidP="009538FA"/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460F4B" w:rsidRPr="00B16C21" w:rsidRDefault="00460F4B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2"/>
            </w:pPr>
          </w:p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E409C8" w:rsidRDefault="00736E6F" w:rsidP="00736E6F">
            <w:pPr>
              <w:pStyle w:val="aff2"/>
              <w:numPr>
                <w:ilvl w:val="0"/>
                <w:numId w:val="1"/>
              </w:numPr>
              <w:rPr>
                <w:b/>
              </w:rPr>
            </w:pPr>
            <w:r w:rsidRPr="00736E6F">
              <w:rPr>
                <w:b/>
              </w:rPr>
              <w:t>Видеонаблюдение СОТБ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1D" w:rsidRPr="00EE001D" w:rsidRDefault="0064501D" w:rsidP="0064501D">
            <w:r>
              <w:t>Обеспечение транспортной безопасности</w:t>
            </w:r>
            <w:r w:rsidR="00736E6F" w:rsidRPr="00736E6F">
              <w:t>, в том числе  антитеррористической защ</w:t>
            </w:r>
            <w:r>
              <w:t>ищенности объектов (территорий)</w:t>
            </w:r>
            <w:r w:rsidR="00736E6F" w:rsidRPr="00736E6F">
              <w:t xml:space="preserve"> 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Сроки реализации программы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736E6F" w:rsidP="00A265E3">
            <w:pPr>
              <w:pStyle w:val="aff2"/>
            </w:pPr>
            <w:r>
              <w:t>2</w:t>
            </w:r>
            <w:r w:rsidR="0006468F">
              <w:t xml:space="preserve"> год</w:t>
            </w:r>
            <w:r w:rsidR="00127AB2">
              <w:t>а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Общий объем финансирования, тыс. руб.,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научно-исследовательские и опытно-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lastRenderedPageBreak/>
              <w:t>конструкторские работы,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капитальные вложения,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Default="00671E80" w:rsidP="00A265E3">
            <w:pPr>
              <w:pStyle w:val="aff2"/>
            </w:pPr>
          </w:p>
          <w:p w:rsidR="00671E80" w:rsidRDefault="00671E80" w:rsidP="00A265E3"/>
          <w:p w:rsidR="00671E80" w:rsidRDefault="00671E80" w:rsidP="00A265E3">
            <w:r>
              <w:t xml:space="preserve"> </w:t>
            </w:r>
            <w:r w:rsidR="003F2D41">
              <w:t>11 000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>:</w:t>
            </w:r>
          </w:p>
          <w:p w:rsidR="00671E80" w:rsidRDefault="00671E80" w:rsidP="00A265E3"/>
          <w:p w:rsidR="00671E80" w:rsidRDefault="00671E80" w:rsidP="00A265E3"/>
          <w:p w:rsidR="00671E80" w:rsidRDefault="004866C5" w:rsidP="00A265E3">
            <w:r>
              <w:rPr>
                <w:lang w:val="en-US"/>
              </w:rPr>
              <w:t xml:space="preserve"> </w:t>
            </w:r>
            <w:r w:rsidR="003F2D41">
              <w:t>11 000</w:t>
            </w:r>
            <w:r w:rsidR="00671E80">
              <w:t xml:space="preserve"> </w:t>
            </w:r>
            <w:proofErr w:type="spellStart"/>
            <w:r w:rsidR="00671E80">
              <w:t>тыс.руб</w:t>
            </w:r>
            <w:proofErr w:type="spellEnd"/>
            <w:r w:rsidR="00671E80">
              <w:t>.</w:t>
            </w:r>
          </w:p>
          <w:p w:rsidR="00671E80" w:rsidRDefault="00671E80" w:rsidP="00A265E3"/>
          <w:p w:rsidR="00671E80" w:rsidRPr="00EB745D" w:rsidRDefault="00671E80" w:rsidP="00A265E3"/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lastRenderedPageBreak/>
              <w:t>Ожидаемые конечные результаты реализации инвестиционной программы,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бюджетный эффект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</w:tbl>
    <w:p w:rsidR="00043A28" w:rsidRDefault="00043A28">
      <w:pPr>
        <w:widowControl/>
        <w:autoSpaceDE/>
        <w:autoSpaceDN/>
        <w:adjustRightInd/>
      </w:pPr>
    </w:p>
    <w:p w:rsidR="00671E80" w:rsidRDefault="00671E80">
      <w:pPr>
        <w:pStyle w:val="affc"/>
      </w:pPr>
    </w:p>
    <w:p w:rsidR="00611EE8" w:rsidRPr="00A42DD0" w:rsidRDefault="00B16C21">
      <w:pPr>
        <w:ind w:firstLine="720"/>
        <w:jc w:val="both"/>
      </w:pPr>
      <w:bookmarkStart w:id="0" w:name="sub_311111"/>
      <w:r w:rsidRPr="00A42DD0">
        <w:t xml:space="preserve">* </w:t>
      </w:r>
      <w:proofErr w:type="gramStart"/>
      <w:r w:rsidRPr="00A42DD0">
        <w:t>В</w:t>
      </w:r>
      <w:proofErr w:type="gramEnd"/>
      <w:r w:rsidRPr="00A42DD0">
        <w:t xml:space="preserve"> данном разделе кратко указываются основные цели и задачи инвестиционной программы, а также ее целевые индикаторы и показатели.</w:t>
      </w:r>
    </w:p>
    <w:p w:rsidR="00611EE8" w:rsidRPr="00A42DD0" w:rsidRDefault="00B16C21">
      <w:pPr>
        <w:ind w:firstLine="720"/>
        <w:jc w:val="both"/>
      </w:pPr>
      <w:bookmarkStart w:id="1" w:name="sub_322222"/>
      <w:bookmarkEnd w:id="0"/>
      <w:r w:rsidRPr="00A42DD0">
        <w:t>** Приводятся данные об ожидаемом бюджетном эффекте от реализации инвестиционной программы, в том числе о прогнозируемой величине роста налоговых отчислений в бюджеты всех уровней бюджетной системы Российской Федерации за вычетом предполагаемого к получению на безвозмездной и безвозвратной основе бюджетного финансирования.</w:t>
      </w:r>
    </w:p>
    <w:p w:rsidR="00611EE8" w:rsidRDefault="00B16C21">
      <w:pPr>
        <w:ind w:firstLine="720"/>
        <w:jc w:val="both"/>
      </w:pPr>
      <w:bookmarkStart w:id="2" w:name="sub_333333"/>
      <w:bookmarkEnd w:id="1"/>
      <w:r w:rsidRPr="00A42DD0">
        <w:t xml:space="preserve">*** </w:t>
      </w:r>
      <w:proofErr w:type="gramStart"/>
      <w:r w:rsidRPr="00A42DD0">
        <w:t>В</w:t>
      </w:r>
      <w:proofErr w:type="gramEnd"/>
      <w:r w:rsidRPr="00A42DD0">
        <w:t xml:space="preserve"> качестве показателей достигнутого в ходе реализации инвестиционной программы социального эффекта могут рассматриваться, например, количество создаваемых (сохраняемых) рабочих мест (ед.), улучшение состояния окружающей среды, снижение энергоемкости производства, и т.п. Там, где это позволяют индикаторы, приводятся количественная оценка ожидаемого социального эффекта.</w:t>
      </w: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Pr="00A42DD0" w:rsidRDefault="00A9205F" w:rsidP="00A9205F">
      <w:pPr>
        <w:ind w:firstLine="698"/>
        <w:jc w:val="right"/>
      </w:pPr>
      <w:bookmarkStart w:id="3" w:name="sub_2320"/>
      <w:bookmarkStart w:id="4" w:name="_GoBack"/>
      <w:bookmarkEnd w:id="4"/>
      <w:r w:rsidRPr="00A42DD0">
        <w:rPr>
          <w:rStyle w:val="a3"/>
          <w:color w:val="auto"/>
        </w:rPr>
        <w:lastRenderedPageBreak/>
        <w:t>Форма N 3-б</w:t>
      </w:r>
    </w:p>
    <w:bookmarkEnd w:id="3"/>
    <w:p w:rsidR="00A9205F" w:rsidRPr="00A42DD0" w:rsidRDefault="00A9205F" w:rsidP="00A9205F">
      <w:pPr>
        <w:ind w:firstLine="720"/>
        <w:jc w:val="both"/>
      </w:pPr>
    </w:p>
    <w:p w:rsidR="00A9205F" w:rsidRDefault="00A9205F" w:rsidP="00A9205F">
      <w:pPr>
        <w:pStyle w:val="1"/>
      </w:pPr>
      <w:r w:rsidRPr="00A42DD0">
        <w:rPr>
          <w:color w:val="auto"/>
        </w:rPr>
        <w:t>Содержание инве</w:t>
      </w:r>
      <w:r>
        <w:rPr>
          <w:color w:val="auto"/>
        </w:rPr>
        <w:t>стиционной программы СЕМ на 2023</w:t>
      </w:r>
      <w:r w:rsidRPr="00A42DD0">
        <w:rPr>
          <w:color w:val="auto"/>
        </w:rPr>
        <w:t xml:space="preserve"> г.</w:t>
      </w:r>
      <w:bookmarkStart w:id="5" w:name="sub_32111"/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988"/>
        <w:gridCol w:w="1091"/>
        <w:gridCol w:w="1574"/>
        <w:gridCol w:w="1209"/>
        <w:gridCol w:w="1134"/>
        <w:gridCol w:w="1319"/>
      </w:tblGrid>
      <w:tr w:rsidR="00A9205F" w:rsidRPr="00583395" w:rsidTr="00AB3C5B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  <w:u w:val="single"/>
              </w:rPr>
            </w:pPr>
            <w:hyperlink r:id="rId6" w:anchor="RANGE!sub_322" w:history="1">
              <w:r w:rsidRPr="00583395">
                <w:rPr>
                  <w:rFonts w:ascii="Calibri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A9205F" w:rsidRPr="00583395" w:rsidTr="00AB3C5B">
        <w:trPr>
          <w:trHeight w:val="4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hyperlink r:id="rId7" w:anchor="RANGE!sub_322" w:history="1">
              <w:r>
                <w:rPr>
                  <w:rFonts w:ascii="Calibri" w:hAnsi="Calibri" w:cs="Times New Roman"/>
                  <w:sz w:val="22"/>
                  <w:szCs w:val="22"/>
                </w:rPr>
                <w:t xml:space="preserve"> в 2023</w:t>
              </w:r>
              <w:r w:rsidRPr="00583395">
                <w:rPr>
                  <w:rFonts w:ascii="Calibri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A9205F" w:rsidRPr="00583395" w:rsidTr="00AB3C5B">
        <w:trPr>
          <w:trHeight w:val="66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в том числе</w:t>
            </w:r>
          </w:p>
        </w:tc>
      </w:tr>
      <w:tr w:rsidR="00A9205F" w:rsidRPr="00583395" w:rsidTr="00AB3C5B">
        <w:trPr>
          <w:trHeight w:val="201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8"/>
                <w:szCs w:val="22"/>
                <w:u w:val="single"/>
              </w:rPr>
            </w:pPr>
            <w:hyperlink r:id="rId8" w:anchor="RANGE!sub_3233" w:history="1">
              <w:r w:rsidRPr="00583395">
                <w:rPr>
                  <w:rFonts w:ascii="Calibri" w:hAnsi="Calibri" w:cs="Times New Roman"/>
                  <w:sz w:val="18"/>
                  <w:szCs w:val="22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A9205F" w:rsidRPr="00583395" w:rsidTr="00AB3C5B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58339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(тыс. руб.)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18"/>
                <w:szCs w:val="20"/>
              </w:rPr>
              <w:t>(тыс. руб.)</w:t>
            </w:r>
          </w:p>
        </w:tc>
      </w:tr>
      <w:tr w:rsidR="00A9205F" w:rsidRPr="00583395" w:rsidTr="00AB3C5B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8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hyperlink r:id="rId9" w:anchor="RANGE!sub_32111" w:history="1">
              <w:proofErr w:type="spellStart"/>
              <w:r w:rsidRPr="00583395">
                <w:rPr>
                  <w:rFonts w:ascii="Calibri" w:hAnsi="Calibri" w:cs="Times New Roman"/>
                  <w:sz w:val="22"/>
                  <w:szCs w:val="22"/>
                </w:rPr>
                <w:t>Вагоноопрокидыватель</w:t>
              </w:r>
              <w:proofErr w:type="spellEnd"/>
              <w:r w:rsidRPr="00583395">
                <w:rPr>
                  <w:rFonts w:ascii="Calibri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D051F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3 903 637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E43BF1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185 520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E43BF1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185 520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2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583395">
              <w:rPr>
                <w:sz w:val="20"/>
                <w:szCs w:val="20"/>
              </w:rPr>
              <w:t>т.ч</w:t>
            </w:r>
            <w:proofErr w:type="spellEnd"/>
            <w:r w:rsidRPr="00583395">
              <w:rPr>
                <w:sz w:val="20"/>
                <w:szCs w:val="20"/>
              </w:rPr>
              <w:t>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23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051F5">
              <w:rPr>
                <w:sz w:val="20"/>
                <w:szCs w:val="20"/>
              </w:rPr>
              <w:t>3 903 637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185 520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185 520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2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2) Приобретение </w:t>
            </w:r>
            <w:proofErr w:type="spellStart"/>
            <w:r w:rsidRPr="00583395">
              <w:rPr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2.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hyperlink r:id="rId10" w:anchor="RANGE!sub_32111" w:history="1">
              <w:r>
                <w:rPr>
                  <w:rFonts w:ascii="Calibri" w:hAnsi="Calibri" w:cs="Times New Roman"/>
                  <w:sz w:val="22"/>
                  <w:szCs w:val="22"/>
                </w:rPr>
                <w:t>Развитие импорта глинозема</w:t>
              </w:r>
              <w:r w:rsidRPr="00583395">
                <w:rPr>
                  <w:rFonts w:ascii="Calibri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727B53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216 750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166 667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166 667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583395">
              <w:rPr>
                <w:sz w:val="20"/>
                <w:szCs w:val="20"/>
              </w:rPr>
              <w:t>т.ч</w:t>
            </w:r>
            <w:proofErr w:type="spellEnd"/>
            <w:r w:rsidRPr="00583395">
              <w:rPr>
                <w:sz w:val="20"/>
                <w:szCs w:val="20"/>
              </w:rPr>
              <w:t>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2E3D59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E3D59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2E3D59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2E3D59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2E3D59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2E3D59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2E3D59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8119A4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19A4">
              <w:rPr>
                <w:sz w:val="20"/>
                <w:szCs w:val="20"/>
              </w:rPr>
              <w:t>2023г.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8119A4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19A4">
              <w:rPr>
                <w:sz w:val="20"/>
                <w:szCs w:val="20"/>
              </w:rPr>
              <w:t>2024г.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8119A4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19A4">
              <w:rPr>
                <w:sz w:val="20"/>
                <w:szCs w:val="20"/>
              </w:rPr>
              <w:t>216 750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8119A4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19A4">
              <w:rPr>
                <w:sz w:val="20"/>
                <w:szCs w:val="20"/>
              </w:rPr>
              <w:t>166 667 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8119A4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19A4">
              <w:rPr>
                <w:sz w:val="20"/>
                <w:szCs w:val="20"/>
              </w:rPr>
              <w:t>166 667 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8119A4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19A4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</w:tbl>
    <w:p w:rsidR="00A9205F" w:rsidRDefault="00A9205F" w:rsidP="00A9205F">
      <w:pPr>
        <w:ind w:firstLine="720"/>
        <w:jc w:val="both"/>
      </w:pPr>
    </w:p>
    <w:p w:rsidR="00A9205F" w:rsidRDefault="00A9205F" w:rsidP="00A9205F">
      <w:pPr>
        <w:ind w:firstLine="720"/>
        <w:jc w:val="both"/>
      </w:pPr>
    </w:p>
    <w:p w:rsidR="00A9205F" w:rsidRDefault="00A9205F" w:rsidP="00A9205F">
      <w:pPr>
        <w:ind w:firstLine="720"/>
        <w:jc w:val="both"/>
      </w:pP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988"/>
        <w:gridCol w:w="1091"/>
        <w:gridCol w:w="1574"/>
        <w:gridCol w:w="1209"/>
        <w:gridCol w:w="1134"/>
        <w:gridCol w:w="1319"/>
      </w:tblGrid>
      <w:tr w:rsidR="00A9205F" w:rsidRPr="00583395" w:rsidTr="00AB3C5B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  <w:u w:val="single"/>
              </w:rPr>
            </w:pPr>
            <w:hyperlink r:id="rId11" w:anchor="RANGE!sub_322" w:history="1">
              <w:r w:rsidRPr="00583395">
                <w:rPr>
                  <w:rFonts w:ascii="Calibri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A9205F" w:rsidRPr="00583395" w:rsidTr="00AB3C5B">
        <w:trPr>
          <w:trHeight w:val="4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hyperlink r:id="rId12" w:anchor="RANGE!sub_322" w:history="1">
              <w:r>
                <w:rPr>
                  <w:rFonts w:ascii="Calibri" w:hAnsi="Calibri" w:cs="Times New Roman"/>
                  <w:sz w:val="22"/>
                  <w:szCs w:val="22"/>
                </w:rPr>
                <w:t xml:space="preserve"> в 2021</w:t>
              </w:r>
              <w:r w:rsidRPr="00583395">
                <w:rPr>
                  <w:rFonts w:ascii="Calibri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A9205F" w:rsidRPr="00583395" w:rsidTr="00AB3C5B">
        <w:trPr>
          <w:trHeight w:val="66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в том числе</w:t>
            </w:r>
          </w:p>
        </w:tc>
      </w:tr>
      <w:tr w:rsidR="00A9205F" w:rsidRPr="00583395" w:rsidTr="00AB3C5B">
        <w:trPr>
          <w:trHeight w:val="201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8"/>
                <w:szCs w:val="22"/>
                <w:u w:val="single"/>
              </w:rPr>
            </w:pPr>
            <w:hyperlink r:id="rId13" w:anchor="RANGE!sub_3233" w:history="1">
              <w:r w:rsidRPr="00583395">
                <w:rPr>
                  <w:rFonts w:ascii="Calibri" w:hAnsi="Calibri" w:cs="Times New Roman"/>
                  <w:sz w:val="18"/>
                  <w:szCs w:val="22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A9205F" w:rsidRPr="00583395" w:rsidTr="00AB3C5B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58339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(тыс. руб.)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18"/>
                <w:szCs w:val="20"/>
              </w:rPr>
              <w:t>(тыс. руб.)</w:t>
            </w:r>
          </w:p>
        </w:tc>
      </w:tr>
      <w:tr w:rsidR="00A9205F" w:rsidRPr="00583395" w:rsidTr="00AB3C5B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8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3</w:t>
            </w:r>
            <w:r w:rsidRPr="00583395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BB25D6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hyperlink r:id="rId14" w:anchor="RANGE!sub_32111" w:history="1">
              <w:r w:rsidRPr="00BB25D6">
                <w:rPr>
                  <w:rStyle w:val="afff9"/>
                  <w:sz w:val="20"/>
                  <w:szCs w:val="20"/>
                </w:rPr>
                <w:t xml:space="preserve">Перевод ПС Порт на напряжение 110 </w:t>
              </w:r>
              <w:proofErr w:type="spellStart"/>
              <w:r w:rsidRPr="00BB25D6">
                <w:rPr>
                  <w:rStyle w:val="afff9"/>
                  <w:sz w:val="20"/>
                  <w:szCs w:val="20"/>
                </w:rPr>
                <w:t>кВ</w:t>
              </w:r>
              <w:proofErr w:type="spellEnd"/>
              <w:r w:rsidRPr="00BB25D6">
                <w:rPr>
                  <w:rStyle w:val="afff9"/>
                  <w:sz w:val="20"/>
                  <w:szCs w:val="20"/>
                </w:rPr>
                <w:t>, в том числе*:</w:t>
              </w:r>
            </w:hyperlink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BB25D6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B25D6">
              <w:rPr>
                <w:sz w:val="20"/>
                <w:szCs w:val="20"/>
              </w:rPr>
              <w:t>40 000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76AF">
              <w:rPr>
                <w:sz w:val="20"/>
                <w:szCs w:val="20"/>
              </w:rPr>
              <w:t>0 000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583395">
              <w:rPr>
                <w:sz w:val="20"/>
                <w:szCs w:val="20"/>
              </w:rPr>
              <w:t>т.ч</w:t>
            </w:r>
            <w:proofErr w:type="spellEnd"/>
            <w:r w:rsidRPr="00583395">
              <w:rPr>
                <w:sz w:val="20"/>
                <w:szCs w:val="20"/>
              </w:rPr>
              <w:t>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7EDB">
              <w:rPr>
                <w:sz w:val="20"/>
                <w:szCs w:val="20"/>
              </w:rPr>
              <w:t>2022г.</w:t>
            </w: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8D7EDB">
              <w:rPr>
                <w:sz w:val="20"/>
                <w:szCs w:val="20"/>
              </w:rPr>
              <w:t>г.</w:t>
            </w: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7EDB">
              <w:rPr>
                <w:sz w:val="20"/>
                <w:szCs w:val="20"/>
              </w:rPr>
              <w:t>0 000</w:t>
            </w: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7EDB">
              <w:rPr>
                <w:sz w:val="20"/>
                <w:szCs w:val="20"/>
              </w:rPr>
              <w:t>0 000</w:t>
            </w: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</w:t>
            </w:r>
            <w:r w:rsidRPr="00583395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hyperlink r:id="rId15" w:anchor="RANGE!sub_32111" w:history="1">
              <w:r w:rsidRPr="007468EF">
                <w:rPr>
                  <w:rFonts w:ascii="Calibri" w:hAnsi="Calibri" w:cs="Times New Roman"/>
                  <w:sz w:val="22"/>
                  <w:szCs w:val="22"/>
                </w:rPr>
                <w:t>Видеонаблюдение СОТБ</w:t>
              </w:r>
              <w:r w:rsidRPr="00583395">
                <w:rPr>
                  <w:rFonts w:ascii="Calibri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2020г.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9205F" w:rsidRPr="004D0BA0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37 500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583395">
              <w:rPr>
                <w:sz w:val="20"/>
                <w:szCs w:val="20"/>
              </w:rPr>
              <w:t>т.ч</w:t>
            </w:r>
            <w:proofErr w:type="spellEnd"/>
            <w:r w:rsidRPr="00583395">
              <w:rPr>
                <w:sz w:val="20"/>
                <w:szCs w:val="20"/>
              </w:rPr>
              <w:t>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2020г.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83395">
              <w:rPr>
                <w:sz w:val="20"/>
                <w:szCs w:val="20"/>
              </w:rPr>
              <w:t>г.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D0BA0">
              <w:rPr>
                <w:sz w:val="20"/>
                <w:szCs w:val="20"/>
              </w:rPr>
              <w:t>37 500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  <w:tr w:rsidR="00A9205F" w:rsidRPr="00583395" w:rsidTr="00AB3C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205F" w:rsidRPr="00583395" w:rsidRDefault="00A9205F" w:rsidP="00AB3C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83395">
              <w:rPr>
                <w:sz w:val="20"/>
                <w:szCs w:val="20"/>
              </w:rPr>
              <w:t> </w:t>
            </w:r>
          </w:p>
        </w:tc>
      </w:tr>
    </w:tbl>
    <w:p w:rsidR="00A9205F" w:rsidRDefault="00A9205F" w:rsidP="00A9205F">
      <w:pPr>
        <w:ind w:firstLine="720"/>
        <w:jc w:val="both"/>
      </w:pPr>
    </w:p>
    <w:p w:rsidR="00A9205F" w:rsidRDefault="00A9205F" w:rsidP="00A9205F">
      <w:pPr>
        <w:ind w:firstLine="720"/>
        <w:jc w:val="both"/>
      </w:pPr>
    </w:p>
    <w:p w:rsidR="00A9205F" w:rsidRPr="00A42DD0" w:rsidRDefault="00A9205F" w:rsidP="00A9205F">
      <w:pPr>
        <w:ind w:firstLine="720"/>
        <w:jc w:val="both"/>
      </w:pPr>
      <w:r w:rsidRPr="00A42DD0">
        <w:t xml:space="preserve">* 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A42DD0">
        <w:t>внеоборотных</w:t>
      </w:r>
      <w:proofErr w:type="spellEnd"/>
      <w:r w:rsidRPr="00A42DD0">
        <w:t xml:space="preserve"> активов. При этом детализация приводится по объектам инвестиций, стоимость которых превышает 3 процента от стоимости запланированных инвестиций по соответствующим разделам, но при этом составляет не менее 1 процента суммы запланированных в целом по </w:t>
      </w:r>
      <w:r w:rsidRPr="00A42DD0">
        <w:lastRenderedPageBreak/>
        <w:t>инвестиционной программе инвестиций.</w:t>
      </w:r>
    </w:p>
    <w:p w:rsidR="00A9205F" w:rsidRPr="00A42DD0" w:rsidRDefault="00A9205F" w:rsidP="00A9205F">
      <w:pPr>
        <w:ind w:firstLine="720"/>
        <w:jc w:val="both"/>
      </w:pPr>
      <w:bookmarkStart w:id="6" w:name="sub_322"/>
      <w:bookmarkEnd w:id="5"/>
      <w:r w:rsidRPr="00A42DD0">
        <w:t>** </w:t>
      </w:r>
      <w:proofErr w:type="gramStart"/>
      <w:r w:rsidRPr="00A42DD0">
        <w:t>В</w:t>
      </w:r>
      <w:proofErr w:type="gramEnd"/>
      <w:r w:rsidRPr="00A42DD0">
        <w:t xml:space="preserve"> текущих ценах.</w:t>
      </w:r>
    </w:p>
    <w:p w:rsidR="00A9205F" w:rsidRPr="00A42DD0" w:rsidRDefault="00A9205F" w:rsidP="00A9205F">
      <w:pPr>
        <w:ind w:firstLine="720"/>
        <w:jc w:val="both"/>
      </w:pPr>
      <w:bookmarkStart w:id="7" w:name="sub_3233"/>
      <w:bookmarkEnd w:id="6"/>
      <w:r w:rsidRPr="00A42DD0">
        <w:t>*** </w:t>
      </w:r>
      <w:proofErr w:type="gramStart"/>
      <w:r w:rsidRPr="00A42DD0">
        <w:t>В</w:t>
      </w:r>
      <w:proofErr w:type="gramEnd"/>
      <w:r w:rsidRPr="00A42DD0">
        <w:t xml:space="preserve"> случае,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с детализацией по каждому уровню.</w:t>
      </w:r>
    </w:p>
    <w:bookmarkEnd w:id="7"/>
    <w:p w:rsidR="00A9205F" w:rsidRDefault="00A9205F" w:rsidP="00A9205F"/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Default="00A9205F">
      <w:pPr>
        <w:ind w:firstLine="720"/>
        <w:jc w:val="both"/>
      </w:pPr>
    </w:p>
    <w:p w:rsidR="00A9205F" w:rsidRPr="00F215ED" w:rsidRDefault="00A9205F" w:rsidP="00A9205F">
      <w:pPr>
        <w:ind w:firstLine="698"/>
        <w:jc w:val="right"/>
      </w:pPr>
      <w:r w:rsidRPr="00F215ED">
        <w:rPr>
          <w:rStyle w:val="a3"/>
          <w:color w:val="auto"/>
        </w:rPr>
        <w:t>Форма N 3-в</w:t>
      </w:r>
    </w:p>
    <w:p w:rsidR="00A9205F" w:rsidRPr="00F215ED" w:rsidRDefault="00A9205F" w:rsidP="00A9205F">
      <w:pPr>
        <w:ind w:firstLine="720"/>
        <w:jc w:val="both"/>
      </w:pPr>
    </w:p>
    <w:p w:rsidR="00A9205F" w:rsidRPr="00F215ED" w:rsidRDefault="00A9205F" w:rsidP="00A9205F">
      <w:pPr>
        <w:pStyle w:val="1"/>
        <w:rPr>
          <w:color w:val="auto"/>
        </w:rPr>
      </w:pPr>
      <w:r w:rsidRPr="00F215ED">
        <w:rPr>
          <w:color w:val="auto"/>
        </w:rPr>
        <w:lastRenderedPageBreak/>
        <w:t>Сумма запланированных инвестиций в рамках реализации инве</w:t>
      </w:r>
      <w:r>
        <w:rPr>
          <w:color w:val="auto"/>
        </w:rPr>
        <w:t xml:space="preserve">стиционной программы СЕМ на 2023 </w:t>
      </w:r>
      <w:r w:rsidRPr="00F215ED">
        <w:rPr>
          <w:color w:val="auto"/>
        </w:rPr>
        <w:t>г.</w:t>
      </w:r>
      <w:hyperlink w:anchor="sub_33111" w:history="1">
        <w:r w:rsidRPr="00F215ED">
          <w:rPr>
            <w:rStyle w:val="a4"/>
            <w:color w:val="auto"/>
          </w:rPr>
          <w:t>*</w:t>
        </w:r>
      </w:hyperlink>
    </w:p>
    <w:p w:rsidR="00A9205F" w:rsidRPr="00F215ED" w:rsidRDefault="00A9205F" w:rsidP="00A9205F">
      <w:pPr>
        <w:ind w:firstLine="720"/>
        <w:jc w:val="both"/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391"/>
        <w:gridCol w:w="1518"/>
        <w:gridCol w:w="1742"/>
        <w:gridCol w:w="906"/>
        <w:gridCol w:w="1556"/>
        <w:gridCol w:w="1860"/>
        <w:gridCol w:w="1431"/>
        <w:gridCol w:w="1197"/>
        <w:gridCol w:w="734"/>
        <w:gridCol w:w="850"/>
      </w:tblGrid>
      <w:tr w:rsidR="00A9205F" w:rsidRPr="00180BC0" w:rsidTr="00A9205F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N 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Ожидаемый экономический эффект</w:t>
            </w:r>
          </w:p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(тыс. руб./год)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Расходы на реализацию инвестиционной программы, всего (тыс. руб.)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 по периодам</w:t>
            </w:r>
          </w:p>
        </w:tc>
      </w:tr>
      <w:tr w:rsidR="00A9205F" w:rsidRPr="00180BC0" w:rsidTr="00A9205F">
        <w:trPr>
          <w:tblHeader/>
        </w:trPr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 (очередной период)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t+1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после периода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</w:tr>
      <w:tr w:rsidR="00A9205F" w:rsidRPr="00180BC0" w:rsidTr="00A9205F">
        <w:trPr>
          <w:tblHeader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205F" w:rsidRPr="00180BC0" w:rsidRDefault="00A9205F" w:rsidP="00AB3C5B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11</w:t>
            </w:r>
          </w:p>
        </w:tc>
      </w:tr>
      <w:tr w:rsidR="00A9205F" w:rsidRPr="00180BC0" w:rsidTr="00A9205F">
        <w:tc>
          <w:tcPr>
            <w:tcW w:w="586" w:type="dxa"/>
            <w:tcBorders>
              <w:top w:val="single" w:sz="4" w:space="0" w:color="auto"/>
              <w:bottom w:val="nil"/>
              <w:right w:val="nil"/>
            </w:tcBorders>
          </w:tcPr>
          <w:p w:rsidR="00A9205F" w:rsidRPr="0010033E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0033E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0033E" w:rsidRDefault="00A9205F" w:rsidP="00AB3C5B">
            <w:pPr>
              <w:pStyle w:val="affc"/>
              <w:rPr>
                <w:sz w:val="20"/>
                <w:szCs w:val="20"/>
              </w:rPr>
            </w:pPr>
            <w:proofErr w:type="spellStart"/>
            <w:r w:rsidRPr="0010033E">
              <w:rPr>
                <w:b/>
                <w:sz w:val="20"/>
                <w:szCs w:val="20"/>
              </w:rPr>
              <w:t>Вагоноопрокид</w:t>
            </w:r>
            <w:proofErr w:type="spellEnd"/>
            <w:r w:rsidRPr="0010033E">
              <w:rPr>
                <w:sz w:val="20"/>
                <w:szCs w:val="20"/>
              </w:rPr>
              <w:t>,</w:t>
            </w:r>
          </w:p>
          <w:p w:rsidR="00A9205F" w:rsidRPr="0010033E" w:rsidRDefault="00A9205F" w:rsidP="00AB3C5B">
            <w:pPr>
              <w:pStyle w:val="affc"/>
              <w:rPr>
                <w:sz w:val="20"/>
                <w:szCs w:val="20"/>
              </w:rPr>
            </w:pPr>
            <w:r w:rsidRPr="001003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1979E8">
              <w:rPr>
                <w:sz w:val="20"/>
                <w:szCs w:val="20"/>
              </w:rPr>
              <w:t>3 903 637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692C74" w:rsidRDefault="00A9205F" w:rsidP="00AB3C5B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185 520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1979E8">
              <w:rPr>
                <w:sz w:val="20"/>
                <w:szCs w:val="20"/>
              </w:rPr>
              <w:t>11.2021г.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1 769 630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692C74" w:rsidRDefault="00A9205F" w:rsidP="00AB3C5B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185 520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11.2021г.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FF6DC9" w:rsidRDefault="00A9205F" w:rsidP="00AB3C5B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2 134 007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2F65BA" w:rsidRDefault="00A9205F" w:rsidP="00AB3C5B">
            <w:pPr>
              <w:pStyle w:val="affc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импорта глинозема</w:t>
            </w:r>
          </w:p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F7043E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166 667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8062AE" w:rsidRDefault="00A9205F" w:rsidP="00AB3C5B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50 083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9477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47769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9477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47769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166 667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8062AE" w:rsidRDefault="00A9205F" w:rsidP="00AB3C5B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50 083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9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BC04BE">
              <w:rPr>
                <w:b/>
                <w:sz w:val="20"/>
                <w:szCs w:val="20"/>
              </w:rPr>
              <w:t xml:space="preserve">Перевод ПС Порт на напряжение 110 </w:t>
            </w:r>
            <w:proofErr w:type="spellStart"/>
            <w:r w:rsidRPr="00BC04BE">
              <w:rPr>
                <w:b/>
                <w:sz w:val="20"/>
                <w:szCs w:val="20"/>
              </w:rPr>
              <w:t>кВ</w:t>
            </w:r>
            <w:proofErr w:type="spellEnd"/>
            <w:r w:rsidRPr="00180BC0">
              <w:rPr>
                <w:sz w:val="20"/>
                <w:szCs w:val="20"/>
              </w:rPr>
              <w:t>,</w:t>
            </w:r>
          </w:p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F7043E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947769">
              <w:rPr>
                <w:sz w:val="20"/>
                <w:szCs w:val="20"/>
              </w:rPr>
              <w:t>2022г.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9477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47769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9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F7043E">
              <w:rPr>
                <w:b/>
                <w:sz w:val="20"/>
                <w:szCs w:val="20"/>
              </w:rPr>
              <w:t>Видеонаблюдение СОТБ</w:t>
            </w:r>
            <w:r w:rsidRPr="00180BC0">
              <w:rPr>
                <w:sz w:val="20"/>
                <w:szCs w:val="20"/>
              </w:rPr>
              <w:t>,</w:t>
            </w:r>
          </w:p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F0F19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5D7A47"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 w:rsidRPr="005D7A4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7A47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  <w:tr w:rsidR="00A9205F" w:rsidRPr="00180BC0" w:rsidTr="00A9205F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0C5902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5F" w:rsidRPr="009E56B4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F" w:rsidRPr="00180BC0" w:rsidRDefault="00A9205F" w:rsidP="00AB3C5B">
            <w:pPr>
              <w:pStyle w:val="aff2"/>
              <w:rPr>
                <w:sz w:val="20"/>
                <w:szCs w:val="20"/>
              </w:rPr>
            </w:pPr>
          </w:p>
        </w:tc>
      </w:tr>
    </w:tbl>
    <w:p w:rsidR="00A9205F" w:rsidRPr="00F215ED" w:rsidRDefault="00A9205F" w:rsidP="00A9205F">
      <w:pPr>
        <w:ind w:firstLine="720"/>
        <w:jc w:val="both"/>
      </w:pPr>
    </w:p>
    <w:p w:rsidR="00A9205F" w:rsidRDefault="00A9205F" w:rsidP="00A9205F">
      <w:pPr>
        <w:pStyle w:val="affc"/>
      </w:pPr>
    </w:p>
    <w:p w:rsidR="00A9205F" w:rsidRDefault="00A9205F" w:rsidP="00A9205F">
      <w:pPr>
        <w:pStyle w:val="affc"/>
      </w:pPr>
    </w:p>
    <w:p w:rsidR="00A9205F" w:rsidRPr="00F215ED" w:rsidRDefault="00A9205F" w:rsidP="00A9205F">
      <w:pPr>
        <w:pStyle w:val="affc"/>
      </w:pPr>
      <w:r w:rsidRPr="00F215ED">
        <w:t>______________________________</w:t>
      </w:r>
    </w:p>
    <w:p w:rsidR="00A9205F" w:rsidRPr="00F215ED" w:rsidRDefault="00A9205F" w:rsidP="00A9205F">
      <w:pPr>
        <w:ind w:firstLine="720"/>
        <w:jc w:val="both"/>
      </w:pPr>
      <w:bookmarkStart w:id="8" w:name="sub_33111"/>
      <w:r w:rsidRPr="00F215ED">
        <w:t>* Приводятся сведения на очередной период (период t). При этом последующие прогнозные 2 периода принимаются за период t+1 и период t+2.</w:t>
      </w:r>
    </w:p>
    <w:p w:rsidR="00A9205F" w:rsidRPr="00F215ED" w:rsidRDefault="00A9205F" w:rsidP="00A9205F">
      <w:pPr>
        <w:ind w:firstLine="720"/>
        <w:jc w:val="both"/>
      </w:pPr>
      <w:bookmarkStart w:id="9" w:name="sub_33222"/>
      <w:bookmarkEnd w:id="8"/>
      <w:r w:rsidRPr="00F215ED">
        <w:t>** </w:t>
      </w:r>
      <w:proofErr w:type="gramStart"/>
      <w:r w:rsidRPr="00F215ED">
        <w:t>В</w:t>
      </w:r>
      <w:proofErr w:type="gramEnd"/>
      <w:r w:rsidRPr="00F215ED">
        <w:t xml:space="preserve"> случае,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A9205F" w:rsidRPr="00F215ED" w:rsidRDefault="00A9205F" w:rsidP="00A9205F">
      <w:pPr>
        <w:ind w:firstLine="720"/>
        <w:jc w:val="both"/>
      </w:pPr>
      <w:bookmarkStart w:id="10" w:name="sub_330333"/>
      <w:bookmarkEnd w:id="9"/>
      <w:r w:rsidRPr="00F215ED">
        <w:t>*** </w:t>
      </w:r>
      <w:proofErr w:type="gramStart"/>
      <w:r w:rsidRPr="00F215ED">
        <w:t>В</w:t>
      </w:r>
      <w:proofErr w:type="gramEnd"/>
      <w:r w:rsidRPr="00F215ED">
        <w:t xml:space="preserve"> текущих ценах.</w:t>
      </w:r>
      <w:bookmarkEnd w:id="2"/>
      <w:bookmarkEnd w:id="10"/>
    </w:p>
    <w:sectPr w:rsidR="00A9205F" w:rsidRPr="00F215ED" w:rsidSect="00A9205F">
      <w:pgSz w:w="16800" w:h="11900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124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5AC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0A7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1868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E7102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B9B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D0"/>
    <w:rsid w:val="00043A28"/>
    <w:rsid w:val="0006468F"/>
    <w:rsid w:val="00066AA0"/>
    <w:rsid w:val="00076AFF"/>
    <w:rsid w:val="00091CB5"/>
    <w:rsid w:val="000A778F"/>
    <w:rsid w:val="000A7873"/>
    <w:rsid w:val="000D7A3C"/>
    <w:rsid w:val="000F4F3F"/>
    <w:rsid w:val="000F6800"/>
    <w:rsid w:val="00103787"/>
    <w:rsid w:val="00127AB2"/>
    <w:rsid w:val="001E2E05"/>
    <w:rsid w:val="001E7658"/>
    <w:rsid w:val="00235124"/>
    <w:rsid w:val="00261D94"/>
    <w:rsid w:val="00277EEC"/>
    <w:rsid w:val="00311CA5"/>
    <w:rsid w:val="00355233"/>
    <w:rsid w:val="0037164A"/>
    <w:rsid w:val="0039612A"/>
    <w:rsid w:val="003B54C5"/>
    <w:rsid w:val="003B756C"/>
    <w:rsid w:val="003D1AB3"/>
    <w:rsid w:val="003E40D9"/>
    <w:rsid w:val="003F2D41"/>
    <w:rsid w:val="00424958"/>
    <w:rsid w:val="00460F4B"/>
    <w:rsid w:val="004866C5"/>
    <w:rsid w:val="004A753E"/>
    <w:rsid w:val="004F0927"/>
    <w:rsid w:val="00537D8D"/>
    <w:rsid w:val="00554F13"/>
    <w:rsid w:val="005A6E20"/>
    <w:rsid w:val="005C208C"/>
    <w:rsid w:val="00611EE8"/>
    <w:rsid w:val="0064501D"/>
    <w:rsid w:val="006706AE"/>
    <w:rsid w:val="00671E80"/>
    <w:rsid w:val="006E39B3"/>
    <w:rsid w:val="00711BFD"/>
    <w:rsid w:val="007137C4"/>
    <w:rsid w:val="00736E6F"/>
    <w:rsid w:val="00764C22"/>
    <w:rsid w:val="00796F11"/>
    <w:rsid w:val="007B1883"/>
    <w:rsid w:val="007C1089"/>
    <w:rsid w:val="007F2525"/>
    <w:rsid w:val="0080606B"/>
    <w:rsid w:val="0083046A"/>
    <w:rsid w:val="00850AB9"/>
    <w:rsid w:val="00854D37"/>
    <w:rsid w:val="008654FF"/>
    <w:rsid w:val="008753EF"/>
    <w:rsid w:val="008D6B81"/>
    <w:rsid w:val="008D6FC8"/>
    <w:rsid w:val="0090093B"/>
    <w:rsid w:val="00913E56"/>
    <w:rsid w:val="00926B98"/>
    <w:rsid w:val="0093303E"/>
    <w:rsid w:val="009344E3"/>
    <w:rsid w:val="0098699A"/>
    <w:rsid w:val="0099290D"/>
    <w:rsid w:val="009C1917"/>
    <w:rsid w:val="009F07E5"/>
    <w:rsid w:val="00A42DD0"/>
    <w:rsid w:val="00A9205F"/>
    <w:rsid w:val="00A92211"/>
    <w:rsid w:val="00A92C9D"/>
    <w:rsid w:val="00AC6DBC"/>
    <w:rsid w:val="00B16C21"/>
    <w:rsid w:val="00B36905"/>
    <w:rsid w:val="00B602C4"/>
    <w:rsid w:val="00BB6E96"/>
    <w:rsid w:val="00C3598E"/>
    <w:rsid w:val="00C622AE"/>
    <w:rsid w:val="00CE4C60"/>
    <w:rsid w:val="00D413B9"/>
    <w:rsid w:val="00D800C1"/>
    <w:rsid w:val="00DE3D43"/>
    <w:rsid w:val="00E34096"/>
    <w:rsid w:val="00E409C8"/>
    <w:rsid w:val="00E56ED5"/>
    <w:rsid w:val="00E77CDC"/>
    <w:rsid w:val="00EA4C52"/>
    <w:rsid w:val="00EA4E7A"/>
    <w:rsid w:val="00EB745D"/>
    <w:rsid w:val="00EC7D61"/>
    <w:rsid w:val="00ED6E73"/>
    <w:rsid w:val="00EE001D"/>
    <w:rsid w:val="00F141FF"/>
    <w:rsid w:val="00F218B4"/>
    <w:rsid w:val="00F22520"/>
    <w:rsid w:val="00FB1541"/>
    <w:rsid w:val="00FB5AD8"/>
    <w:rsid w:val="00FE4ADC"/>
    <w:rsid w:val="00FE74EF"/>
    <w:rsid w:val="00FE7C8C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C6E4"/>
  <w14:defaultImageDpi w14:val="0"/>
  <w15:docId w15:val="{C9127E88-0C87-453B-8983-CDCEB9C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  <w:style w:type="character" w:styleId="afff9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a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b">
    <w:name w:val="Balloon Text"/>
    <w:basedOn w:val="a"/>
    <w:link w:val="afffc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31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3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2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1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0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4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B879-73BF-4B30-8154-A5C12F1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Alexander.Brant@nmtport.ru</cp:lastModifiedBy>
  <cp:revision>2</cp:revision>
  <cp:lastPrinted>2023-08-16T02:16:00Z</cp:lastPrinted>
  <dcterms:created xsi:type="dcterms:W3CDTF">2023-08-30T04:09:00Z</dcterms:created>
  <dcterms:modified xsi:type="dcterms:W3CDTF">2023-08-30T04:09:00Z</dcterms:modified>
</cp:coreProperties>
</file>