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 w:rsidP="009E216A">
      <w:pPr>
        <w:pStyle w:val="1"/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 xml:space="preserve">за </w:t>
      </w:r>
      <w:r w:rsidR="009E216A">
        <w:rPr>
          <w:color w:val="auto"/>
        </w:rPr>
        <w:t>201</w:t>
      </w:r>
      <w:r w:rsidR="0085082E">
        <w:rPr>
          <w:color w:val="auto"/>
        </w:rPr>
        <w:t>8</w:t>
      </w:r>
      <w:r w:rsidR="009E216A">
        <w:rPr>
          <w:color w:val="auto"/>
        </w:rPr>
        <w:t xml:space="preserve"> </w:t>
      </w:r>
      <w:r w:rsidRPr="000E57AE">
        <w:rPr>
          <w:color w:val="auto"/>
        </w:rPr>
        <w:t>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 w:rsidP="009E216A">
            <w:pPr>
              <w:pStyle w:val="aff3"/>
            </w:pPr>
            <w:r>
              <w:t xml:space="preserve">       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tbl>
      <w:tblPr>
        <w:tblW w:w="10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1268"/>
        <w:gridCol w:w="11"/>
        <w:gridCol w:w="10"/>
      </w:tblGrid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bookmarkEnd w:id="0"/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EC0D3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10 852</w:t>
            </w:r>
          </w:p>
        </w:tc>
      </w:tr>
      <w:tr w:rsidR="00630C1C" w:rsidRPr="005C71CC" w:rsidTr="004C0BD4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EC0D3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10 852</w:t>
            </w:r>
          </w:p>
        </w:tc>
      </w:tr>
      <w:tr w:rsidR="00630C1C" w:rsidRPr="005C71CC" w:rsidTr="00D65212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EC0D3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03548F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EC0D35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9F45AD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EC0D35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</w:tr>
      <w:tr w:rsidR="00630C1C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630C1C" w:rsidRPr="005C71CC" w:rsidTr="007C1560">
        <w:trPr>
          <w:gridAfter w:val="2"/>
          <w:wAfter w:w="2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7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8 175 174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3 294 008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8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7 989 578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3 155 771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9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0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1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185 596</w:t>
            </w: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138 237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2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3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14" w:name="sub_22027"/>
            <w:r w:rsidRPr="005C71CC">
              <w:rPr>
                <w:sz w:val="20"/>
                <w:szCs w:val="20"/>
              </w:rPr>
              <w:t>027</w:t>
            </w:r>
            <w:bookmarkEnd w:id="14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15" w:name="sub_22028"/>
            <w:r w:rsidRPr="005C71CC">
              <w:rPr>
                <w:sz w:val="20"/>
                <w:szCs w:val="20"/>
              </w:rPr>
              <w:t>028</w:t>
            </w:r>
            <w:bookmarkEnd w:id="15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16" w:name="sub_22030"/>
            <w:r w:rsidRPr="005C71CC">
              <w:rPr>
                <w:sz w:val="20"/>
                <w:szCs w:val="20"/>
              </w:rPr>
              <w:t>030</w:t>
            </w:r>
            <w:bookmarkEnd w:id="16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8 175 174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630C1C" w:rsidRPr="005C71CC" w:rsidRDefault="00630C1C" w:rsidP="00630C1C">
            <w:pPr>
              <w:pStyle w:val="aff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3 294 008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bookmarkStart w:id="17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17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12 172</w:t>
            </w:r>
          </w:p>
        </w:tc>
      </w:tr>
      <w:tr w:rsidR="00630C1C" w:rsidRPr="005C71CC" w:rsidTr="007C1560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18" w:name="sub_22050"/>
            <w:r w:rsidRPr="005C71CC">
              <w:rPr>
                <w:sz w:val="20"/>
                <w:szCs w:val="20"/>
              </w:rPr>
              <w:t>050</w:t>
            </w:r>
            <w:bookmarkEnd w:id="18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8 175 174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 w:rsidP="00630C1C">
            <w:pPr>
              <w:pStyle w:val="af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3 306 181</w:t>
            </w:r>
          </w:p>
        </w:tc>
      </w:tr>
      <w:tr w:rsidR="00630C1C" w:rsidRPr="005C71CC" w:rsidTr="007C1560">
        <w:trPr>
          <w:gridAfter w:val="1"/>
          <w:wAfter w:w="10" w:type="dxa"/>
        </w:trPr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  <w:jc w:val="center"/>
              <w:rPr>
                <w:sz w:val="20"/>
                <w:szCs w:val="20"/>
              </w:rPr>
            </w:pPr>
            <w:bookmarkStart w:id="19" w:name="sub_22060"/>
            <w:r w:rsidRPr="005C71CC">
              <w:rPr>
                <w:sz w:val="20"/>
                <w:szCs w:val="20"/>
              </w:rPr>
              <w:t>060</w:t>
            </w:r>
            <w:bookmarkEnd w:id="19"/>
          </w:p>
        </w:tc>
        <w:tc>
          <w:tcPr>
            <w:tcW w:w="25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30C1C" w:rsidRPr="005C71CC" w:rsidRDefault="00630C1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4 868 993</w:t>
            </w:r>
          </w:p>
        </w:tc>
      </w:tr>
      <w:tr w:rsidR="00630C1C" w:rsidRPr="005C71CC" w:rsidTr="007C1560">
        <w:trPr>
          <w:gridAfter w:val="2"/>
          <w:wAfter w:w="21" w:type="dxa"/>
        </w:trPr>
        <w:tc>
          <w:tcPr>
            <w:tcW w:w="10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C1C" w:rsidRPr="005C71CC" w:rsidRDefault="00630C1C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630C1C" w:rsidRPr="005C71CC" w:rsidRDefault="00630C1C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(доходы) равна </w:t>
            </w:r>
            <w:hyperlink r:id="rId5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"Выручка" Отчета о прибылях и убытках бухгалтерской отчетности предприятия.</w:t>
            </w:r>
          </w:p>
          <w:p w:rsidR="00630C1C" w:rsidRPr="005C71CC" w:rsidRDefault="00630C1C">
            <w:pPr>
              <w:pStyle w:val="aff3"/>
            </w:pPr>
            <w:hyperlink w:anchor="sub_22030" w:history="1">
              <w:r w:rsidRPr="005C71CC">
                <w:rPr>
                  <w:rStyle w:val="a4"/>
                  <w:color w:val="auto"/>
                </w:rPr>
                <w:t>Строка 030</w:t>
              </w:r>
            </w:hyperlink>
            <w:r w:rsidRPr="005C71CC">
              <w:t xml:space="preserve"> (расходы) равна сумме строк </w:t>
            </w:r>
            <w:hyperlink r:id="rId6" w:history="1">
              <w:r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Pr="005C71CC">
              <w:t xml:space="preserve">, </w:t>
            </w:r>
            <w:hyperlink r:id="rId7" w:history="1">
              <w:r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Pr="005C71CC">
              <w:t xml:space="preserve">, </w:t>
            </w:r>
            <w:hyperlink r:id="rId8" w:history="1">
              <w:r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Pr="005C71CC">
              <w:t>.</w:t>
            </w:r>
          </w:p>
          <w:p w:rsidR="00630C1C" w:rsidRPr="005C71CC" w:rsidRDefault="00630C1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630C1C" w:rsidRPr="005C71CC" w:rsidRDefault="00630C1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630C1C" w:rsidRPr="005C71CC" w:rsidRDefault="00630C1C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20" w:name="sub_2203"/>
      <w:r w:rsidRPr="000E57AE">
        <w:rPr>
          <w:color w:val="auto"/>
        </w:rPr>
        <w:lastRenderedPageBreak/>
        <w:t>III. Расшифровка расходов</w:t>
      </w:r>
    </w:p>
    <w:bookmarkEnd w:id="20"/>
    <w:p w:rsidR="00833E3E" w:rsidRPr="000E57AE" w:rsidRDefault="00833E3E">
      <w:pPr>
        <w:ind w:firstLine="720"/>
        <w:jc w:val="both"/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944"/>
        <w:gridCol w:w="999"/>
        <w:gridCol w:w="871"/>
        <w:gridCol w:w="865"/>
        <w:gridCol w:w="871"/>
        <w:gridCol w:w="720"/>
        <w:gridCol w:w="1030"/>
        <w:gridCol w:w="1279"/>
        <w:gridCol w:w="1035"/>
        <w:gridCol w:w="925"/>
        <w:gridCol w:w="913"/>
      </w:tblGrid>
      <w:tr w:rsidR="000E57AE" w:rsidRPr="005C71CC" w:rsidTr="00630C1C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N </w:t>
            </w:r>
            <w:r w:rsidRPr="002664AC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в том числе по статьям затрат</w:t>
            </w:r>
          </w:p>
        </w:tc>
      </w:tr>
      <w:tr w:rsidR="000E57AE" w:rsidRPr="005C71CC" w:rsidTr="00630C1C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833E3E" w:rsidP="002664AC">
            <w:pPr>
              <w:pStyle w:val="aff3"/>
              <w:ind w:left="-136" w:right="-28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5C71CC" w:rsidRPr="002664AC">
              <w:rPr>
                <w:sz w:val="16"/>
                <w:szCs w:val="16"/>
              </w:rPr>
              <w:t xml:space="preserve">асходы, связанные с участием в </w:t>
            </w:r>
            <w:proofErr w:type="gramStart"/>
            <w:r w:rsidR="005C71CC" w:rsidRPr="002664AC">
              <w:rPr>
                <w:sz w:val="16"/>
                <w:szCs w:val="16"/>
              </w:rPr>
              <w:t>совместной</w:t>
            </w:r>
            <w:proofErr w:type="gramEnd"/>
            <w:r w:rsidR="005C71CC" w:rsidRPr="002664AC">
              <w:rPr>
                <w:sz w:val="16"/>
                <w:szCs w:val="16"/>
              </w:rPr>
              <w:t xml:space="preserve"> деятель</w:t>
            </w:r>
            <w:r>
              <w:rPr>
                <w:sz w:val="16"/>
                <w:szCs w:val="16"/>
              </w:rPr>
              <w:t>-</w:t>
            </w:r>
            <w:proofErr w:type="spellStart"/>
            <w:r w:rsidR="005C71CC" w:rsidRPr="002664AC">
              <w:rPr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м</w:t>
            </w:r>
            <w:r w:rsidR="005C71CC" w:rsidRPr="002664AC">
              <w:rPr>
                <w:sz w:val="16"/>
                <w:szCs w:val="16"/>
              </w:rPr>
              <w:t>атериа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льные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о</w:t>
            </w:r>
            <w:r w:rsidR="005C71CC" w:rsidRPr="002664AC">
              <w:rPr>
                <w:sz w:val="16"/>
                <w:szCs w:val="16"/>
              </w:rPr>
              <w:t>тчисле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5C71CC" w:rsidRPr="002664AC">
              <w:rPr>
                <w:sz w:val="16"/>
                <w:szCs w:val="16"/>
              </w:rPr>
              <w:t xml:space="preserve"> на соц. нужды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2664A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а</w:t>
            </w:r>
            <w:r w:rsidR="005C71CC" w:rsidRPr="002664AC">
              <w:rPr>
                <w:sz w:val="16"/>
                <w:szCs w:val="16"/>
              </w:rPr>
              <w:t>морти</w:t>
            </w:r>
            <w:r>
              <w:rPr>
                <w:sz w:val="16"/>
                <w:szCs w:val="16"/>
              </w:rPr>
              <w:t>-</w:t>
            </w:r>
            <w:r w:rsidR="005C71CC" w:rsidRPr="002664AC">
              <w:rPr>
                <w:sz w:val="16"/>
                <w:szCs w:val="16"/>
              </w:rPr>
              <w:t>зация</w:t>
            </w:r>
            <w:proofErr w:type="spellEnd"/>
            <w:proofErr w:type="gramEnd"/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 xml:space="preserve">прочие расходы по обычным видам </w:t>
            </w:r>
            <w:proofErr w:type="gramStart"/>
            <w:r w:rsidRPr="002664AC">
              <w:rPr>
                <w:sz w:val="16"/>
                <w:szCs w:val="16"/>
              </w:rPr>
              <w:t>деятель</w:t>
            </w:r>
            <w:r w:rsidR="002664AC">
              <w:rPr>
                <w:sz w:val="16"/>
                <w:szCs w:val="16"/>
              </w:rPr>
              <w:t>-</w:t>
            </w:r>
            <w:proofErr w:type="spellStart"/>
            <w:r w:rsidRPr="002664AC">
              <w:rPr>
                <w:sz w:val="16"/>
                <w:szCs w:val="16"/>
              </w:rPr>
              <w:t>ности</w:t>
            </w:r>
            <w:proofErr w:type="spellEnd"/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проценты к уплате по кредитам и займам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налоги и иные обязатель</w:t>
            </w:r>
            <w:r w:rsidR="002664AC">
              <w:rPr>
                <w:sz w:val="16"/>
                <w:szCs w:val="16"/>
              </w:rPr>
              <w:t>-</w:t>
            </w:r>
            <w:r w:rsidRPr="002664AC">
              <w:rPr>
                <w:sz w:val="16"/>
                <w:szCs w:val="16"/>
              </w:rPr>
              <w:t>ные платежи и сборы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2664AC" w:rsidRDefault="005C71CC" w:rsidP="002664AC">
            <w:pPr>
              <w:pStyle w:val="aff3"/>
              <w:ind w:left="-136" w:right="-28"/>
              <w:jc w:val="center"/>
              <w:rPr>
                <w:sz w:val="16"/>
                <w:szCs w:val="16"/>
              </w:rPr>
            </w:pPr>
            <w:r w:rsidRPr="002664AC">
              <w:rPr>
                <w:sz w:val="16"/>
                <w:szCs w:val="16"/>
              </w:rPr>
              <w:t>прочие расходы</w:t>
            </w:r>
          </w:p>
        </w:tc>
      </w:tr>
      <w:tr w:rsidR="000E57AE" w:rsidRPr="005C71CC" w:rsidTr="00630C1C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1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2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3294008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  <w:bookmarkStart w:id="22" w:name="_GoBack"/>
            <w:bookmarkEnd w:id="22"/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C1C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  <w:p w:rsidR="00833E3E" w:rsidRPr="00630C1C" w:rsidRDefault="00833E3E" w:rsidP="00630C1C">
            <w:pPr>
              <w:ind w:right="-65" w:hanging="88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3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2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3155771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496957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97714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330977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ind w:right="-144" w:hanging="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151728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630C1C" w:rsidP="00630C1C">
            <w:pPr>
              <w:ind w:right="-65" w:hanging="88"/>
              <w:jc w:val="center"/>
              <w:rPr>
                <w:sz w:val="18"/>
                <w:szCs w:val="18"/>
              </w:rPr>
            </w:pPr>
            <w:r w:rsidRPr="00630C1C">
              <w:rPr>
                <w:sz w:val="18"/>
                <w:szCs w:val="18"/>
              </w:rPr>
              <w:t>1175236</w:t>
            </w: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4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2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5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2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6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2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138237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2287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63998</w:t>
            </w: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7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2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8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2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9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2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3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1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3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3294008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2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3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12172</w:t>
            </w:r>
          </w:p>
        </w:tc>
      </w:tr>
      <w:tr w:rsidR="000E57AE" w:rsidRPr="005C71CC" w:rsidTr="00630C1C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3" w:name="sub_2250"/>
            <w:r w:rsidRPr="005C71CC">
              <w:rPr>
                <w:sz w:val="20"/>
                <w:szCs w:val="20"/>
              </w:rPr>
              <w:t>ВСЕГО</w:t>
            </w:r>
            <w:bookmarkEnd w:id="33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630C1C" w:rsidP="00630C1C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3306181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630C1C" w:rsidRDefault="00833E3E" w:rsidP="00630C1C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7AE"/>
    <w:rsid w:val="000E57AE"/>
    <w:rsid w:val="00150AAC"/>
    <w:rsid w:val="002664AC"/>
    <w:rsid w:val="00303E05"/>
    <w:rsid w:val="003110CD"/>
    <w:rsid w:val="00560EC7"/>
    <w:rsid w:val="005C71CC"/>
    <w:rsid w:val="00630C1C"/>
    <w:rsid w:val="006E072D"/>
    <w:rsid w:val="007C1560"/>
    <w:rsid w:val="00833E3E"/>
    <w:rsid w:val="0085082E"/>
    <w:rsid w:val="009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Ирина П. Ветрова</cp:lastModifiedBy>
  <cp:revision>5</cp:revision>
  <dcterms:created xsi:type="dcterms:W3CDTF">2017-04-04T02:28:00Z</dcterms:created>
  <dcterms:modified xsi:type="dcterms:W3CDTF">2017-04-04T02:47:00Z</dcterms:modified>
</cp:coreProperties>
</file>